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0C1E36"/>
          <w:sz w:val="40"/>
          <w:szCs w:val="40"/>
        </w:rPr>
        <w:t xml:space="preserve">AI ACCEPTABLE USE &amp; DATA SAFETY POLICY</w:t>
      </w:r>
    </w:p>
    <w:p>
      <w:pPr>
        <w:spacing w:after="60"/>
      </w:pPr>
      <w:r>
        <w:rPr>
          <w:color w:val="33455e"/>
          <w:sz w:val="21"/>
          <w:szCs w:val="21"/>
        </w:rPr>
        <w:t xml:space="preserve">A plain-English starter policy for teams using AI tools. </w:t>
      </w:r>
      <w:r>
        <w:rPr>
          <w:i/>
          <w:iCs/>
          <w:color w:val="1F6FEB"/>
          <w:sz w:val="21"/>
          <w:szCs w:val="21"/>
        </w:rPr>
        <w:t xml:space="preserve">Customize the highlighted fields, then share.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E4E0D8" w:sz="2"/>
              <w:left w:val="single" w:color="E4E0D8" w:sz="2"/>
              <w:bottom w:val="single" w:color="E4E0D8" w:sz="2"/>
              <w:right w:val="single" w:color="E4E0D8" w:sz="2"/>
            </w:tcBorders>
            <w:shd w:fill="F5F4F0" w:val="clear"/>
            <w:tcMar>
              <w:top w:type="dxa" w:w="80"/>
              <w:left w:type="dxa" w:w="120"/>
              <w:bottom w:type="dxa" w:w="80"/>
              <w:right w:type="dxa" w:w="120"/>
            </w:tcMar>
          </w:tcPr>
          <w:p>
            <w:pPr>
              <w:spacing w:after="20"/>
            </w:pPr>
            <w:r>
              <w:rPr>
                <w:b/>
                <w:bCs/>
                <w:color w:val="6B7688"/>
                <w:spacing w:val="20"/>
                <w:sz w:val="15"/>
                <w:szCs w:val="15"/>
              </w:rPr>
              <w:t xml:space="preserve">APPLIES TO</w:t>
            </w:r>
          </w:p>
          <w:p>
            <w:r>
              <w:rPr>
                <w:b/>
                <w:bCs/>
                <w:color w:val="1F6FEB"/>
                <w:sz w:val="19"/>
                <w:szCs w:val="19"/>
              </w:rPr>
              <w:t xml:space="preserve">[All employees &amp; contractors]</w:t>
            </w:r>
          </w:p>
        </w:tc>
        <w:tc>
          <w:tcPr>
            <w:tcW w:type="dxa" w:w="3120"/>
            <w:tcBorders>
              <w:top w:val="single" w:color="E4E0D8" w:sz="2"/>
              <w:left w:val="single" w:color="E4E0D8" w:sz="2"/>
              <w:bottom w:val="single" w:color="E4E0D8" w:sz="2"/>
              <w:right w:val="single" w:color="E4E0D8" w:sz="2"/>
            </w:tcBorders>
            <w:shd w:fill="F5F4F0" w:val="clear"/>
            <w:tcMar>
              <w:top w:type="dxa" w:w="80"/>
              <w:left w:type="dxa" w:w="120"/>
              <w:bottom w:type="dxa" w:w="80"/>
              <w:right w:type="dxa" w:w="120"/>
            </w:tcMar>
          </w:tcPr>
          <w:p>
            <w:pPr>
              <w:spacing w:after="20"/>
            </w:pPr>
            <w:r>
              <w:rPr>
                <w:b/>
                <w:bCs/>
                <w:color w:val="6B7688"/>
                <w:spacing w:val="20"/>
                <w:sz w:val="15"/>
                <w:szCs w:val="15"/>
              </w:rPr>
              <w:t xml:space="preserve">OWNER</w:t>
            </w:r>
          </w:p>
          <w:p>
            <w:r>
              <w:rPr>
                <w:b/>
                <w:bCs/>
                <w:color w:val="1F6FEB"/>
                <w:sz w:val="19"/>
                <w:szCs w:val="19"/>
              </w:rPr>
              <w:t xml:space="preserve">[Name / Role]</w:t>
            </w:r>
          </w:p>
        </w:tc>
        <w:tc>
          <w:tcPr>
            <w:tcW w:type="dxa" w:w="3120"/>
            <w:tcBorders>
              <w:top w:val="single" w:color="E4E0D8" w:sz="2"/>
              <w:left w:val="single" w:color="E4E0D8" w:sz="2"/>
              <w:bottom w:val="single" w:color="E4E0D8" w:sz="2"/>
              <w:right w:val="single" w:color="E4E0D8" w:sz="2"/>
            </w:tcBorders>
            <w:shd w:fill="F5F4F0" w:val="clear"/>
            <w:tcMar>
              <w:top w:type="dxa" w:w="80"/>
              <w:left w:type="dxa" w:w="120"/>
              <w:bottom w:type="dxa" w:w="80"/>
              <w:right w:type="dxa" w:w="120"/>
            </w:tcMar>
          </w:tcPr>
          <w:p>
            <w:pPr>
              <w:spacing w:after="20"/>
            </w:pPr>
            <w:r>
              <w:rPr>
                <w:b/>
                <w:bCs/>
                <w:color w:val="6B7688"/>
                <w:spacing w:val="20"/>
                <w:sz w:val="15"/>
                <w:szCs w:val="15"/>
              </w:rPr>
              <w:t xml:space="preserve">EFFECTIVE DATE</w:t>
            </w:r>
          </w:p>
          <w:p>
            <w:r>
              <w:rPr>
                <w:b/>
                <w:bCs/>
                <w:color w:val="1F6FEB"/>
                <w:sz w:val="19"/>
                <w:szCs w:val="19"/>
              </w:rPr>
              <w:t xml:space="preserve">[Date] · v1.0</w:t>
            </w:r>
          </w:p>
        </w:tc>
      </w:tr>
    </w:tbl>
    <w:p>
      <w:pPr>
        <w:pStyle w:val="Heading1"/>
      </w:pPr>
      <w:r>
        <w:t xml:space="preserve">1. Why this policy exists</w:t>
      </w:r>
    </w:p>
    <w:p>
      <w:pPr>
        <w:spacing w:after="120" w:line="276"/>
      </w:pPr>
      <w:r>
        <w:t xml:space="preserve">AI tools like ChatGPT, Copilot, Gemini and Claude help </w:t>
      </w:r>
      <w:r>
        <w:rPr>
          <w:b/>
          <w:bCs/>
          <w:color w:val="1F6FEB"/>
        </w:rPr>
        <w:t xml:space="preserve">[Company Name]</w:t>
      </w:r>
      <w:r>
        <w:t xml:space="preserve"> work faster — but only when we use them safely. This policy explains what you can and can’t share with AI tools so we protect our customers, our data, and our reputation while getting the benefits. It applies to every AI tool, on any device, used for company work.</w:t>
      </w:r>
    </w:p>
    <w:p>
      <w:pPr>
        <w:pStyle w:val="Heading1"/>
      </w:pPr>
      <w:r>
        <w:t xml:space="preserve">2. The golden rule</w:t>
      </w:r>
    </w:p>
    <w:p>
      <w:pPr>
        <w:spacing w:after="120" w:line="276"/>
      </w:pPr>
      <w:r>
        <w:rPr>
          <w:b/>
          <w:bCs/>
          <w:color w:val="0C1E36"/>
        </w:rPr>
        <w:t xml:space="preserve">If it would embarrass us on the front page — or in a lawsuit — it doesn’t go into a public AI tool. </w:t>
      </w:r>
      <w:r>
        <w:t xml:space="preserve">When you’re unsure, don’t paste it. Ask </w:t>
      </w:r>
      <w:r>
        <w:rPr>
          <w:b/>
          <w:bCs/>
          <w:color w:val="1F6FEB"/>
        </w:rPr>
        <w:t xml:space="preserve">[the policy owner]</w:t>
      </w:r>
      <w:r>
        <w:t xml:space="preserve"> first.</w:t>
      </w:r>
    </w:p>
    <w:p>
      <w:pPr>
        <w:pStyle w:val="Heading1"/>
      </w:pPr>
      <w:r>
        <w:t xml:space="preserve">3. The three-second check</w:t>
      </w:r>
    </w:p>
    <w:p>
      <w:pPr>
        <w:spacing w:after="120" w:line="276"/>
      </w:pPr>
      <w:r>
        <w:t xml:space="preserve">Before you enter anything into an AI tool, decide which bucket it falls 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4E0D8" w:sz="2"/>
              <w:left w:val="single" w:color="E4E0D8" w:sz="2"/>
              <w:bottom w:val="single" w:color="E4E0D8" w:sz="2"/>
              <w:right w:val="single" w:color="E4E0D8" w:sz="2"/>
            </w:tcBorders>
            <w:shd w:fill="F7ECEA" w:val="clear"/>
            <w:tcMar>
              <w:top w:type="dxa" w:w="100"/>
              <w:left w:type="dxa" w:w="140"/>
              <w:bottom w:type="dxa" w:w="100"/>
              <w:right w:type="dxa" w:w="120"/>
            </w:tcMar>
          </w:tcPr>
          <w:p>
            <w:r>
              <w:rPr>
                <w:b/>
                <w:bCs/>
                <w:color w:val="B23A2E"/>
                <w:sz w:val="22"/>
                <w:szCs w:val="22"/>
              </w:rPr>
              <w:t xml:space="preserve">STOP — never</w:t>
            </w:r>
          </w:p>
        </w:tc>
        <w:tc>
          <w:tcPr>
            <w:tcW w:type="dxa" w:w="7160"/>
            <w:tcBorders>
              <w:top w:val="single" w:color="E4E0D8" w:sz="2"/>
              <w:left w:val="single" w:color="E4E0D8" w:sz="2"/>
              <w:bottom w:val="single" w:color="E4E0D8" w:sz="2"/>
              <w:right w:val="single" w:color="E4E0D8" w:sz="2"/>
            </w:tcBorders>
            <w:tcMar>
              <w:top w:type="dxa" w:w="100"/>
              <w:left w:type="dxa" w:w="140"/>
              <w:bottom w:type="dxa" w:w="100"/>
              <w:right w:type="dxa" w:w="140"/>
            </w:tcMar>
          </w:tcPr>
          <w:p>
            <w:r>
              <w:t xml:space="preserve">Customer or employee personal data, passwords/keys/logins, non-public financials, source code, contracts and legal documents, health records, and </w:t>
            </w:r>
            <w:r>
              <w:rPr>
                <w:b/>
                <w:bCs/>
              </w:rPr>
              <w:t xml:space="preserve">anything covered by an NDA</w:t>
            </w:r>
            <w:r>
              <w:t xml:space="preserve">.</w:t>
            </w:r>
          </w:p>
        </w:tc>
      </w:tr>
      <w:tr>
        <w:tc>
          <w:tcPr>
            <w:tcW w:type="dxa" w:w="2200"/>
            <w:tcBorders>
              <w:top w:val="single" w:color="E4E0D8" w:sz="2"/>
              <w:left w:val="single" w:color="E4E0D8" w:sz="2"/>
              <w:bottom w:val="single" w:color="E4E0D8" w:sz="2"/>
              <w:right w:val="single" w:color="E4E0D8" w:sz="2"/>
            </w:tcBorders>
            <w:shd w:fill="F8F1E3" w:val="clear"/>
            <w:tcMar>
              <w:top w:type="dxa" w:w="100"/>
              <w:left w:type="dxa" w:w="140"/>
              <w:bottom w:type="dxa" w:w="100"/>
              <w:right w:type="dxa" w:w="120"/>
            </w:tcMar>
          </w:tcPr>
          <w:p>
            <w:r>
              <w:rPr>
                <w:b/>
                <w:bCs/>
                <w:color w:val="9C6A12"/>
                <w:sz w:val="22"/>
                <w:szCs w:val="22"/>
              </w:rPr>
              <w:t xml:space="preserve">PAUSE — check</w:t>
            </w:r>
          </w:p>
        </w:tc>
        <w:tc>
          <w:tcPr>
            <w:tcW w:type="dxa" w:w="7160"/>
            <w:tcBorders>
              <w:top w:val="single" w:color="E4E0D8" w:sz="2"/>
              <w:left w:val="single" w:color="E4E0D8" w:sz="2"/>
              <w:bottom w:val="single" w:color="E4E0D8" w:sz="2"/>
              <w:right w:val="single" w:color="E4E0D8" w:sz="2"/>
            </w:tcBorders>
            <w:tcMar>
              <w:top w:type="dxa" w:w="100"/>
              <w:left w:type="dxa" w:w="140"/>
              <w:bottom w:type="dxa" w:w="100"/>
              <w:right w:type="dxa" w:w="140"/>
            </w:tcMar>
          </w:tcPr>
          <w:p>
            <w:r>
              <w:t xml:space="preserve">Internal documents, strategy, client names, unpublished numbers. Remove identifying details first, </w:t>
            </w:r>
            <w:r>
              <w:rPr>
                <w:i/>
                <w:iCs/>
              </w:rPr>
              <w:t xml:space="preserve">or</w:t>
            </w:r>
            <w:r>
              <w:t xml:space="preserve"> use an approved company account — never a personal free tool.</w:t>
            </w:r>
          </w:p>
        </w:tc>
      </w:tr>
      <w:tr>
        <w:tc>
          <w:tcPr>
            <w:tcW w:type="dxa" w:w="2200"/>
            <w:tcBorders>
              <w:top w:val="single" w:color="E4E0D8" w:sz="2"/>
              <w:left w:val="single" w:color="E4E0D8" w:sz="2"/>
              <w:bottom w:val="single" w:color="E4E0D8" w:sz="2"/>
              <w:right w:val="single" w:color="E4E0D8" w:sz="2"/>
            </w:tcBorders>
            <w:shd w:fill="E9F2EC" w:val="clear"/>
            <w:tcMar>
              <w:top w:type="dxa" w:w="100"/>
              <w:left w:type="dxa" w:w="140"/>
              <w:bottom w:type="dxa" w:w="100"/>
              <w:right w:type="dxa" w:w="120"/>
            </w:tcMar>
          </w:tcPr>
          <w:p>
            <w:r>
              <w:rPr>
                <w:b/>
                <w:bCs/>
                <w:color w:val="2E7D57"/>
                <w:sz w:val="22"/>
                <w:szCs w:val="22"/>
              </w:rPr>
              <w:t xml:space="preserve">GO — fine</w:t>
            </w:r>
          </w:p>
        </w:tc>
        <w:tc>
          <w:tcPr>
            <w:tcW w:type="dxa" w:w="7160"/>
            <w:tcBorders>
              <w:top w:val="single" w:color="E4E0D8" w:sz="2"/>
              <w:left w:val="single" w:color="E4E0D8" w:sz="2"/>
              <w:bottom w:val="single" w:color="E4E0D8" w:sz="2"/>
              <w:right w:val="single" w:color="E4E0D8" w:sz="2"/>
            </w:tcBorders>
            <w:tcMar>
              <w:top w:type="dxa" w:w="100"/>
              <w:left w:type="dxa" w:w="140"/>
              <w:bottom w:type="dxa" w:w="100"/>
              <w:right w:type="dxa" w:w="140"/>
            </w:tcMar>
          </w:tcPr>
          <w:p>
            <w:r>
              <w:t xml:space="preserve">Public information, general how-to questions, your own draft writing, and brainstorming with no confidential specifics attached.</w:t>
            </w:r>
          </w:p>
        </w:tc>
      </w:tr>
    </w:tbl>
    <w:p>
      <w:pPr>
        <w:pStyle w:val="Heading1"/>
      </w:pPr>
      <w:r>
        <w:t xml:space="preserve">4. Approved tools</w:t>
      </w:r>
    </w:p>
    <w:p>
      <w:pPr>
        <w:spacing w:after="120" w:line="276"/>
      </w:pPr>
      <w:r>
        <w:t xml:space="preserve">Use only tools on the approved list below. If a tool isn’t listed, request approval before using it for company work — free/personal accounts often train on and store what you enter.</w:t>
      </w:r>
    </w:p>
    <w:p>
      <w:pPr>
        <w:pStyle w:val="ListParagraph"/>
        <w:numPr>
          <w:ilvl w:val="0"/>
          <w:numId w:val="2"/>
        </w:numPr>
        <w:spacing w:after="60" w:line="264"/>
      </w:pPr>
      <w:r>
        <w:rPr>
          <w:b/>
          <w:bCs/>
          <w:color w:val="1F6FEB"/>
        </w:rPr>
        <w:t xml:space="preserve">[Tool 1 — e.g., ChatGPT Team / Enterprise]</w:t>
      </w:r>
      <w:r>
        <w:t xml:space="preserve"> — approved for: </w:t>
      </w:r>
      <w:r>
        <w:rPr>
          <w:b/>
          <w:bCs/>
          <w:color w:val="1F6FEB"/>
        </w:rPr>
        <w:t xml:space="preserve">[uses]</w:t>
      </w:r>
    </w:p>
    <w:p>
      <w:pPr>
        <w:pStyle w:val="ListParagraph"/>
        <w:numPr>
          <w:ilvl w:val="0"/>
          <w:numId w:val="2"/>
        </w:numPr>
        <w:spacing w:after="60" w:line="264"/>
      </w:pPr>
      <w:r>
        <w:rPr>
          <w:b/>
          <w:bCs/>
          <w:color w:val="1F6FEB"/>
        </w:rPr>
        <w:t xml:space="preserve">[Tool 2 — e.g., Microsoft Copilot]</w:t>
      </w:r>
      <w:r>
        <w:t xml:space="preserve"> — approved for: </w:t>
      </w:r>
      <w:r>
        <w:rPr>
          <w:b/>
          <w:bCs/>
          <w:color w:val="1F6FEB"/>
        </w:rPr>
        <w:t xml:space="preserve">[uses]</w:t>
      </w:r>
    </w:p>
    <w:p>
      <w:pPr>
        <w:pStyle w:val="ListParagraph"/>
        <w:numPr>
          <w:ilvl w:val="0"/>
          <w:numId w:val="2"/>
        </w:numPr>
        <w:spacing w:after="60" w:line="264"/>
      </w:pPr>
      <w:r>
        <w:t xml:space="preserve">To request a new tool, contact </w:t>
      </w:r>
      <w:r>
        <w:rPr>
          <w:b/>
          <w:bCs/>
          <w:color w:val="1F6FEB"/>
        </w:rPr>
        <w:t xml:space="preserve">[owner/email]</w:t>
      </w:r>
      <w:r>
        <w:t xml:space="preserve">.</w:t>
      </w:r>
    </w:p>
    <w:p>
      <w:pPr>
        <w:pStyle w:val="Heading1"/>
      </w:pPr>
      <w:r>
        <w:t xml:space="preserve">5. You’re still responsible for the output</w:t>
      </w:r>
    </w:p>
    <w:p>
      <w:pPr>
        <w:pStyle w:val="ListParagraph"/>
        <w:numPr>
          <w:ilvl w:val="0"/>
          <w:numId w:val="2"/>
        </w:numPr>
        <w:spacing w:after="60" w:line="264"/>
      </w:pPr>
      <w:r>
        <w:t xml:space="preserve">A person — not the AI — owns every result. Review AI output for accuracy before it’s used, sent, or published; AI can be confidently wrong.</w:t>
      </w:r>
    </w:p>
    <w:p>
      <w:pPr>
        <w:pStyle w:val="ListParagraph"/>
        <w:numPr>
          <w:ilvl w:val="0"/>
          <w:numId w:val="2"/>
        </w:numPr>
        <w:spacing w:after="60" w:line="264"/>
      </w:pPr>
      <w:r>
        <w:t xml:space="preserve">Don’t rely on AI as the sole basis for decisions that materially affect a person (hiring, pay, credit, or similar) without human review.</w:t>
      </w:r>
    </w:p>
    <w:p>
      <w:pPr>
        <w:pStyle w:val="ListParagraph"/>
        <w:numPr>
          <w:ilvl w:val="0"/>
          <w:numId w:val="2"/>
        </w:numPr>
        <w:spacing w:after="60" w:line="264"/>
      </w:pPr>
      <w:r>
        <w:t xml:space="preserve">Tell customers or clients when AI meaningfully shaped something they receive, per </w:t>
      </w:r>
      <w:r>
        <w:rPr>
          <w:b/>
          <w:bCs/>
          <w:color w:val="1F6FEB"/>
        </w:rPr>
        <w:t xml:space="preserve">[our disclosure practice]</w:t>
      </w:r>
      <w:r>
        <w:t xml:space="preserve">.</w:t>
      </w:r>
    </w:p>
    <w:p>
      <w:pPr>
        <w:pStyle w:val="Heading1"/>
      </w:pPr>
      <w:r>
        <w:t xml:space="preserve">6. If something goes wrong</w:t>
      </w:r>
    </w:p>
    <w:p>
      <w:pPr>
        <w:spacing w:after="120" w:line="276"/>
      </w:pPr>
      <w:r>
        <w:t xml:space="preserve">Accidentally pasted something sensitive, or got a result that looks unsafe or biased? Report it to </w:t>
      </w:r>
      <w:r>
        <w:rPr>
          <w:b/>
          <w:bCs/>
          <w:color w:val="1F6FEB"/>
        </w:rPr>
        <w:t xml:space="preserve">[owner/email]</w:t>
      </w:r>
      <w:r>
        <w:t xml:space="preserve"> right away. Early reporting helps us contain issues — you won’t be penalized for a good-faith mistake you report promptly.</w:t>
      </w:r>
    </w:p>
    <w:p>
      <w:pPr>
        <w:pStyle w:val="Heading1"/>
      </w:pPr>
      <w:r>
        <w:t xml:space="preserve">7. Acknowledgment</w:t>
      </w:r>
    </w:p>
    <w:p>
      <w:pPr>
        <w:spacing w:after="120" w:line="276"/>
      </w:pPr>
      <w:r>
        <w:t xml:space="preserve">I have read and agree to follow </w:t>
      </w:r>
      <w:r>
        <w:rPr>
          <w:b/>
          <w:bCs/>
          <w:color w:val="1F6FEB"/>
        </w:rPr>
        <w:t xml:space="preserve">[Company Name]</w:t>
      </w:r>
      <w:r>
        <w:t xml:space="preserve">’s AI Acceptable Use &amp; Data Safety Policy.</w:t>
      </w:r>
    </w:p>
    <w:p>
      <w:pPr>
        <w:spacing w:before="200"/>
      </w:pPr>
      <w:r>
        <w:rPr>
          <w:b/>
          <w:bCs/>
        </w:rPr>
        <w:t xml:space="preserve">Name: </w:t>
      </w:r>
      <w:r>
        <w:t xml:space="preserve">______________________________     </w:t>
      </w:r>
      <w:r>
        <w:rPr>
          <w:b/>
          <w:bCs/>
        </w:rPr>
        <w:t xml:space="preserve">Signature: </w:t>
      </w:r>
      <w:r>
        <w:t xml:space="preserve">__________________     </w:t>
      </w:r>
      <w:r>
        <w:rPr>
          <w:b/>
          <w:bCs/>
        </w:rPr>
        <w:t xml:space="preserve">Date: </w:t>
      </w:r>
      <w:r>
        <w:t xml:space="preserve">____________</w:t>
      </w:r>
    </w:p>
    <w:p>
      <w:pPr>
        <w:pBdr>
          <w:top w:val="single" w:color="E4E0D8" w:sz="4" w:space="6"/>
        </w:pBdr>
        <w:spacing w:before="260"/>
      </w:pPr>
      <w:r>
        <w:rPr>
          <w:i/>
          <w:iCs/>
          <w:color w:val="6B7688"/>
          <w:sz w:val="16"/>
          <w:szCs w:val="16"/>
        </w:rPr>
        <w:t xml:space="preserve">This template is provided for general guidance and is not legal advice. Adapt it to your obligations and have counsel review before adoption — for example, to support a “reasonable care” posture under frameworks such as the NIST AI RMF or the Colorado AI Act (SB24-205). Prepared by </w:t>
      </w:r>
      <w:hyperlink w:history="1" r:id="rId2lupyij0ex8gsw-axatle">
        <w:r>
          <w:rPr>
            <w:rStyle w:val="Hyperlink"/>
            <w:sz w:val="16"/>
            <w:szCs w:val="16"/>
          </w:rPr>
          <w:t xml:space="preserve">Inside Partners</w:t>
        </w:r>
      </w:hyperlink>
      <w:r>
        <w:rPr>
          <w:i/>
          <w:iCs/>
          <w:color w:val="6B7688"/>
          <w:sz w:val="16"/>
          <w:szCs w:val="16"/>
        </w:rPr>
        <w:t xml:space="preserve">, Fractional Chief Automation Officer for mid-market companies.</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4E0D8" w:sz="4" w:space="6"/>
      </w:pBdr>
      <w:tabs>
        <w:tab w:val="right" w:pos="9360"/>
      </w:tabs>
    </w:pPr>
    <w:r>
      <w:rPr>
        <w:color w:val="6B7688"/>
        <w:sz w:val="15"/>
        <w:szCs w:val="15"/>
      </w:rPr>
      <w:t xml:space="preserve">Free template from Inside Partners  ·  insidepartners.ai</w:t>
    </w:r>
    <w:r>
      <w:rPr>
        <w:color w:val="6B7688"/>
        <w:sz w:val="15"/>
        <w:szCs w:val="15"/>
      </w:rPr>
      <w:t xml:space="preserve">	Page </w:t>
    </w:r>
    <w:r>
      <w:rPr>
        <w:color w:val="6B7688"/>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4E0D8" w:sz="4" w:space="6"/>
      </w:pBdr>
      <w:tabs>
        <w:tab w:val="right" w:pos="9360"/>
      </w:tabs>
    </w:pPr>
    <w:r>
      <w:rPr>
        <w:b/>
        <w:bCs/>
        <w:color w:val="0C1E36"/>
        <w:spacing w:val="30"/>
        <w:sz w:val="18"/>
        <w:szCs w:val="18"/>
      </w:rPr>
      <w:t xml:space="preserve">INSIDE PARTNERS</w:t>
    </w:r>
    <w:r>
      <w:rPr>
        <w:color w:val="6B7688"/>
        <w:sz w:val="16"/>
        <w:szCs w:val="16"/>
      </w:rPr>
      <w:t xml:space="preserve">  |  Fractional Chief Automation Officer</w:t>
    </w:r>
    <w:r>
      <w:rPr>
        <w:color w:val="6B7688"/>
        <w:sz w:val="16"/>
        <w:szCs w:val="16"/>
      </w:rPr>
      <w:t xml:space="preserve">	Policy Template No.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4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1F6FEB" w:sz="6" w:space="4"/>
      </w:pBdr>
      <w:spacing w:after="120" w:before="260"/>
      <w:outlineLvl w:val="0"/>
    </w:pPr>
    <w:rPr>
      <w:rFonts w:ascii="Arial" w:cs="Arial" w:eastAsia="Arial" w:hAnsi="Arial"/>
      <w:b/>
      <w:bCs/>
      <w:color w:val="0C1E36"/>
      <w:sz w:val="30"/>
      <w:szCs w:val="30"/>
    </w:rPr>
  </w:style>
  <w:style w:type="paragraph" w:styleId="Heading2">
    <w:name w:val="Heading 2"/>
    <w:basedOn w:val="Normal"/>
    <w:next w:val="Normal"/>
    <w:qFormat/>
    <w:pPr>
      <w:spacing w:after="80" w:before="180"/>
      <w:outlineLvl w:val="1"/>
    </w:pPr>
    <w:rPr>
      <w:rFonts w:ascii="Arial" w:cs="Arial" w:eastAsia="Arial" w:hAnsi="Arial"/>
      <w:b/>
      <w:bCs/>
      <w:color w:val="0C1E36"/>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2lupyij0ex8gsw-axatle" Type="http://schemas.openxmlformats.org/officeDocument/2006/relationships/hyperlink" Target="https://www.insidepartners.ai"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Acceptable Use &amp; Data Safety Policy (Template)</dc:title>
  <dc:creator>Inside Partners</dc:creator>
  <cp:lastModifiedBy>Un-named</cp:lastModifiedBy>
  <cp:revision>1</cp:revision>
  <dcterms:created xsi:type="dcterms:W3CDTF">2026-07-06T11:44:15.968Z</dcterms:created>
  <dcterms:modified xsi:type="dcterms:W3CDTF">2026-07-06T11:44:15.968Z</dcterms:modified>
</cp:coreProperties>
</file>

<file path=docProps/custom.xml><?xml version="1.0" encoding="utf-8"?>
<Properties xmlns="http://schemas.openxmlformats.org/officeDocument/2006/custom-properties" xmlns:vt="http://schemas.openxmlformats.org/officeDocument/2006/docPropsVTypes"/>
</file>