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C1E36"/>
          <w:sz w:val="36"/>
          <w:szCs w:val="36"/>
        </w:rPr>
        <w:t xml:space="preserve">AI RED LIST — QUICK REFERENCE CHECKLIST</w:t>
      </w:r>
    </w:p>
    <w:p>
      <w:pPr>
        <w:spacing w:after="60"/>
      </w:pPr>
      <w:r>
        <w:rPr>
          <w:color w:val="33455e"/>
          <w:sz w:val="21"/>
          <w:szCs w:val="21"/>
        </w:rPr>
        <w:t xml:space="preserve">Six categories that never go into a public AI tool — no exceptions. </w:t>
      </w:r>
      <w:r>
        <w:rPr>
          <w:i/>
          <w:iCs/>
          <w:color w:val="1F6FEB"/>
          <w:sz w:val="21"/>
          <w:szCs w:val="21"/>
        </w:rPr>
        <w:t xml:space="preserve">Customize the highlighted fields, then print or pin it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APPLIES TO</w:t>
            </w:r>
          </w:p>
          <w:p>
            <w:r>
              <w:rPr>
                <w:b/>
                <w:bCs/>
                <w:color w:val="1F6FEB"/>
                <w:sz w:val="19"/>
                <w:szCs w:val="19"/>
              </w:rPr>
              <w:t xml:space="preserve">[All employees &amp; contractors]</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OWNER</w:t>
            </w:r>
          </w:p>
          <w:p>
            <w:r>
              <w:rPr>
                <w:b/>
                <w:bCs/>
                <w:color w:val="1F6FEB"/>
                <w:sz w:val="19"/>
                <w:szCs w:val="19"/>
              </w:rPr>
              <w:t xml:space="preserve">[Name / Role]</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EFFECTIVE DATE</w:t>
            </w:r>
          </w:p>
          <w:p>
            <w:r>
              <w:rPr>
                <w:b/>
                <w:bCs/>
                <w:color w:val="1F6FEB"/>
                <w:sz w:val="19"/>
                <w:szCs w:val="19"/>
              </w:rPr>
              <w:t xml:space="preserve">[Date] · v1.0</w:t>
            </w:r>
          </w:p>
        </w:tc>
      </w:tr>
    </w:tbl>
    <w:p>
      <w:pPr>
        <w:pStyle w:val="Heading1"/>
      </w:pPr>
      <w:r>
        <w:t xml:space="preserve">1. Purpose</w:t>
      </w:r>
    </w:p>
    <w:p>
      <w:pPr>
        <w:spacing w:after="120" w:line="276"/>
      </w:pPr>
      <w:r>
        <w:t xml:space="preserve">Poster No. 01 covered the quick gut-check for what's safe to paste into a public AI tool. This checklist goes one level deeper: the specific categories of information that are </w:t>
      </w:r>
      <w:r>
        <w:rPr>
          <w:b/>
          <w:bCs/>
          <w:color w:val="0C1E36"/>
        </w:rPr>
        <w:t xml:space="preserve">always</w:t>
      </w:r>
      <w:r>
        <w:t xml:space="preserve"> off-limits for </w:t>
      </w:r>
      <w:r>
        <w:rPr>
          <w:b/>
          <w:bCs/>
          <w:color w:val="1F6FEB"/>
        </w:rPr>
        <w:t xml:space="preserve">[Company Name]</w:t>
      </w:r>
      <w:r>
        <w:t xml:space="preserve">, regardless of which AI tool or how the question is phrased. Keep this next to Policy No. 01 (Data Safety) and Policy No. 02 (Acceptable Use).</w:t>
      </w:r>
    </w:p>
    <w:p>
      <w:pPr>
        <w:pStyle w:val="Heading1"/>
      </w:pPr>
      <w:r>
        <w:t xml:space="preserve">2. The one rule</w:t>
      </w:r>
    </w:p>
    <w:p>
      <w:pPr>
        <w:spacing w:after="120" w:line="276"/>
      </w:pPr>
      <w:r>
        <w:rPr>
          <w:b/>
          <w:bCs/>
          <w:color w:val="0C1E36"/>
        </w:rPr>
        <w:t xml:space="preserve">If you wouldn't post it on our public website, it doesn't go into a public AI tool. </w:t>
      </w:r>
      <w:r>
        <w:t xml:space="preserve">Public AI tools are not confidential — treat anything you type into one as if it could be seen by a stranger.</w:t>
      </w:r>
    </w:p>
    <w:p>
      <w:pPr>
        <w:pStyle w:val="Heading1"/>
      </w:pPr>
      <w:r>
        <w:t xml:space="preserve">3. The Red List — never paste, type, or upload</w:t>
      </w:r>
    </w:p>
    <w:p>
      <w:pPr>
        <w:pStyle w:val="ListParagraph"/>
        <w:numPr>
          <w:ilvl w:val="0"/>
          <w:numId w:val="2"/>
        </w:numPr>
        <w:spacing w:after="90" w:line="264"/>
      </w:pPr>
      <w:r>
        <w:rPr>
          <w:b/>
          <w:bCs/>
          <w:color w:val="0C1E36"/>
        </w:rPr>
        <w:t xml:space="preserve">Customer &amp; employee data</w:t>
      </w:r>
      <w:r>
        <w:rPr>
          <w:color w:val="33455e"/>
        </w:rPr>
        <w:t xml:space="preserve">  —  names, SSNs, health records, HR files, home addresses</w:t>
      </w:r>
    </w:p>
    <w:p>
      <w:pPr>
        <w:pStyle w:val="ListParagraph"/>
        <w:numPr>
          <w:ilvl w:val="0"/>
          <w:numId w:val="2"/>
        </w:numPr>
        <w:spacing w:after="90" w:line="264"/>
      </w:pPr>
      <w:r>
        <w:rPr>
          <w:b/>
          <w:bCs/>
          <w:color w:val="0C1E36"/>
        </w:rPr>
        <w:t xml:space="preserve">Passwords &amp; access</w:t>
      </w:r>
      <w:r>
        <w:rPr>
          <w:color w:val="33455e"/>
        </w:rPr>
        <w:t xml:space="preserve">  —  logins, API keys, MFA codes, admin credentials</w:t>
      </w:r>
    </w:p>
    <w:p>
      <w:pPr>
        <w:pStyle w:val="ListParagraph"/>
        <w:numPr>
          <w:ilvl w:val="0"/>
          <w:numId w:val="2"/>
        </w:numPr>
        <w:spacing w:after="90" w:line="264"/>
      </w:pPr>
      <w:r>
        <w:rPr>
          <w:b/>
          <w:bCs/>
          <w:color w:val="0C1E36"/>
        </w:rPr>
        <w:t xml:space="preserve">Financials &amp; strategy</w:t>
      </w:r>
      <w:r>
        <w:rPr>
          <w:color w:val="33455e"/>
        </w:rPr>
        <w:t xml:space="preserve">  —  unreleased earnings, M&amp;A talks, pricing plans</w:t>
      </w:r>
    </w:p>
    <w:p>
      <w:pPr>
        <w:pStyle w:val="ListParagraph"/>
        <w:numPr>
          <w:ilvl w:val="0"/>
          <w:numId w:val="2"/>
        </w:numPr>
        <w:spacing w:after="90" w:line="264"/>
      </w:pPr>
      <w:r>
        <w:rPr>
          <w:b/>
          <w:bCs/>
          <w:color w:val="0C1E36"/>
        </w:rPr>
        <w:t xml:space="preserve">Contracts &amp; legal</w:t>
      </w:r>
      <w:r>
        <w:rPr>
          <w:color w:val="33455e"/>
        </w:rPr>
        <w:t xml:space="preserve">  —  NDAs, litigation, IP filings, legal correspondence</w:t>
      </w:r>
    </w:p>
    <w:p>
      <w:pPr>
        <w:pStyle w:val="ListParagraph"/>
        <w:numPr>
          <w:ilvl w:val="0"/>
          <w:numId w:val="2"/>
        </w:numPr>
        <w:spacing w:after="90" w:line="264"/>
      </w:pPr>
      <w:r>
        <w:rPr>
          <w:b/>
          <w:bCs/>
          <w:color w:val="0C1E36"/>
        </w:rPr>
        <w:t xml:space="preserve">Source code &amp; security</w:t>
      </w:r>
      <w:r>
        <w:rPr>
          <w:color w:val="33455e"/>
        </w:rPr>
        <w:t xml:space="preserve">  —  proprietary code, security configs, known vulnerabilities</w:t>
      </w:r>
    </w:p>
    <w:p>
      <w:pPr>
        <w:pStyle w:val="ListParagraph"/>
        <w:numPr>
          <w:ilvl w:val="0"/>
          <w:numId w:val="2"/>
        </w:numPr>
        <w:spacing w:after="90" w:line="264"/>
      </w:pPr>
      <w:r>
        <w:rPr>
          <w:b/>
          <w:bCs/>
          <w:color w:val="0C1E36"/>
        </w:rPr>
        <w:t xml:space="preserve">Anything under NDA</w:t>
      </w:r>
      <w:r>
        <w:rPr>
          <w:color w:val="33455e"/>
        </w:rPr>
        <w:t xml:space="preserve">  —  client secrets, vendor terms, third-party confidential info</w:t>
      </w:r>
    </w:p>
    <w:p>
      <w:pPr>
        <w:pStyle w:val="Heading1"/>
      </w:pPr>
      <w:r>
        <w:t xml:space="preserve">4. Before you paste — the 3-question check</w:t>
      </w:r>
    </w:p>
    <w:p>
      <w:pPr>
        <w:pStyle w:val="ListParagraph"/>
        <w:numPr>
          <w:ilvl w:val="0"/>
          <w:numId w:val="3"/>
        </w:numPr>
        <w:spacing w:after="60" w:line="264"/>
      </w:pPr>
      <w:r>
        <w:t xml:space="preserve">Could this identify a real customer, employee, or patient?</w:t>
      </w:r>
    </w:p>
    <w:p>
      <w:pPr>
        <w:pStyle w:val="ListParagraph"/>
        <w:numPr>
          <w:ilvl w:val="0"/>
          <w:numId w:val="3"/>
        </w:numPr>
        <w:spacing w:after="60" w:line="264"/>
      </w:pPr>
      <w:r>
        <w:t xml:space="preserve">Would I be comfortable if this showed up in a competitor's inbox tomorrow?</w:t>
      </w:r>
    </w:p>
    <w:p>
      <w:pPr>
        <w:pStyle w:val="ListParagraph"/>
        <w:numPr>
          <w:ilvl w:val="0"/>
          <w:numId w:val="3"/>
        </w:numPr>
        <w:spacing w:after="60" w:line="264"/>
      </w:pPr>
      <w:r>
        <w:t xml:space="preserve">Is this covered by an NDA, contract, or </w:t>
      </w:r>
      <w:r>
        <w:rPr>
          <w:b/>
          <w:bCs/>
          <w:color w:val="1F6FEB"/>
        </w:rPr>
        <w:t xml:space="preserve">[our data classification policy]</w:t>
      </w:r>
      <w:r>
        <w:t xml:space="preserve">?</w:t>
      </w:r>
    </w:p>
    <w:p>
      <w:pPr>
        <w:spacing w:after="120" w:line="276"/>
      </w:pPr>
      <w:r>
        <w:rPr>
          <w:b/>
          <w:bCs/>
          <w:color w:val="0C1E36"/>
        </w:rPr>
        <w:t xml:space="preserve">If the answer to any of these is “yes” or “not sure” — don't paste it. </w:t>
      </w:r>
      <w:r>
        <w:t xml:space="preserve">Ask first.</w:t>
      </w:r>
    </w:p>
    <w:p>
      <w:pPr>
        <w:pStyle w:val="Heading1"/>
      </w:pPr>
      <w:r>
        <w:t xml:space="preserve">5. What to do instead</w:t>
      </w:r>
    </w:p>
    <w:p>
      <w:pPr>
        <w:pStyle w:val="ListParagraph"/>
        <w:numPr>
          <w:ilvl w:val="0"/>
          <w:numId w:val="3"/>
        </w:numPr>
        <w:spacing w:after="60" w:line="264"/>
      </w:pPr>
      <w:r>
        <w:t xml:space="preserve">Use an </w:t>
      </w:r>
      <w:r>
        <w:rPr>
          <w:b/>
          <w:bCs/>
          <w:color w:val="1F6FEB"/>
        </w:rPr>
        <w:t xml:space="preserve">[approved company AI tool]</w:t>
      </w:r>
      <w:r>
        <w:t xml:space="preserve"> with an enterprise data agreement for anything work-related.</w:t>
      </w:r>
    </w:p>
    <w:p>
      <w:pPr>
        <w:pStyle w:val="ListParagraph"/>
        <w:numPr>
          <w:ilvl w:val="0"/>
          <w:numId w:val="3"/>
        </w:numPr>
        <w:spacing w:after="60" w:line="264"/>
      </w:pPr>
      <w:r>
        <w:t xml:space="preserve">Strip or replace identifying details before using a general-purpose tool for a related task.</w:t>
      </w:r>
    </w:p>
    <w:p>
      <w:pPr>
        <w:pStyle w:val="ListParagraph"/>
        <w:numPr>
          <w:ilvl w:val="0"/>
          <w:numId w:val="3"/>
        </w:numPr>
        <w:spacing w:after="60" w:line="264"/>
      </w:pPr>
      <w:r>
        <w:t xml:space="preserve">Not sure if a tool qualifies? Check </w:t>
      </w:r>
      <w:r>
        <w:rPr>
          <w:b/>
          <w:bCs/>
          <w:color w:val="1F6FEB"/>
        </w:rPr>
        <w:t xml:space="preserve">[the approved tools list]</w:t>
      </w:r>
      <w:r>
        <w:t xml:space="preserve"> or ask </w:t>
      </w:r>
      <w:r>
        <w:rPr>
          <w:b/>
          <w:bCs/>
          <w:color w:val="1F6FEB"/>
        </w:rPr>
        <w:t xml:space="preserve">[owner / email]</w:t>
      </w:r>
      <w:r>
        <w:t xml:space="preserve">.</w:t>
      </w:r>
    </w:p>
    <w:p>
      <w:pPr>
        <w:pStyle w:val="Heading1"/>
      </w:pPr>
      <w:r>
        <w:t xml:space="preserve">6. If something already went in</w:t>
      </w:r>
    </w:p>
    <w:p>
      <w:pPr>
        <w:spacing w:after="120" w:line="276"/>
      </w:pPr>
      <w:r>
        <w:t xml:space="preserve">Mistakes happen — report it right away to </w:t>
      </w:r>
      <w:r>
        <w:rPr>
          <w:b/>
          <w:bCs/>
          <w:color w:val="1F6FEB"/>
        </w:rPr>
        <w:t xml:space="preserve">[owner / email]</w:t>
      </w:r>
      <w:r>
        <w:t xml:space="preserve">. Early reporting lets us assess exposure and respond quickly; you won't be penalized for a good-faith mistake you report promptly. See the incident guidance in a future week of this series.</w:t>
      </w:r>
    </w:p>
    <w:p>
      <w:pPr>
        <w:pStyle w:val="Heading1"/>
      </w:pPr>
      <w:r>
        <w:t xml:space="preserve">7. Related resources</w:t>
      </w:r>
    </w:p>
    <w:p>
      <w:pPr>
        <w:pStyle w:val="ListParagraph"/>
        <w:numPr>
          <w:ilvl w:val="0"/>
          <w:numId w:val="3"/>
        </w:numPr>
        <w:spacing w:after="60" w:line="264"/>
      </w:pPr>
      <w:r>
        <w:t xml:space="preserve">Poster No. 01 &amp; Policy: </w:t>
      </w:r>
      <w:r>
        <w:rPr>
          <w:b/>
          <w:bCs/>
          <w:color w:val="1F6FEB"/>
        </w:rPr>
        <w:t xml:space="preserve">Data Safety — insidepartners.ai/ai-data-safety</w:t>
      </w:r>
    </w:p>
    <w:p>
      <w:pPr>
        <w:pStyle w:val="ListParagraph"/>
        <w:numPr>
          <w:ilvl w:val="0"/>
          <w:numId w:val="3"/>
        </w:numPr>
        <w:spacing w:after="60" w:line="264"/>
      </w:pPr>
      <w:r>
        <w:t xml:space="preserve">Poster No. 02 &amp; Policy: </w:t>
      </w:r>
      <w:r>
        <w:rPr>
          <w:b/>
          <w:bCs/>
          <w:color w:val="1F6FEB"/>
        </w:rPr>
        <w:t xml:space="preserve">Acceptable Use — insidepartners.ai/ai-acceptable-use</w:t>
      </w:r>
    </w:p>
    <w:p>
      <w:pPr>
        <w:pBdr>
          <w:top w:val="single" w:color="E4E0D8" w:sz="4" w:space="6"/>
        </w:pBdr>
        <w:spacing w:before="240"/>
      </w:pPr>
      <w:r>
        <w:rPr>
          <w:i/>
          <w:iCs/>
          <w:color w:val="6B7688"/>
          <w:sz w:val="16"/>
          <w:szCs w:val="16"/>
        </w:rPr>
        <w:t xml:space="preserve">This template is provided for general guidance and is not legal advice. Adapt it to your obligations and have counsel review before adoption. AI disclosure and transparency rules are still taking shape (for example, Colorado's SB 26-189 takes effect January 1, 2027), so keep this checklist current as the law evolves. Prepared by </w:t>
      </w:r>
      <w:hyperlink w:history="1" r:id="rIdfudunqp5ec8pm4c8at69w">
        <w:r>
          <w:rPr>
            <w:rStyle w:val="Hyperlink"/>
            <w:sz w:val="16"/>
            <w:szCs w:val="16"/>
          </w:rPr>
          <w:t xml:space="preserve">Inside Partners</w:t>
        </w:r>
      </w:hyperlink>
      <w:r>
        <w:rPr>
          <w:i/>
          <w:iCs/>
          <w:color w:val="6B7688"/>
          <w:sz w:val="16"/>
          <w:szCs w:val="16"/>
        </w:rPr>
        <w:t xml:space="preserve">, Fractional Chief Automation Officer for mid-market companies.</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0D8" w:sz="4" w:space="6"/>
      </w:pBdr>
      <w:tabs>
        <w:tab w:val="right" w:pos="9360"/>
      </w:tabs>
    </w:pPr>
    <w:r>
      <w:rPr>
        <w:color w:val="6B7688"/>
        <w:sz w:val="15"/>
        <w:szCs w:val="15"/>
      </w:rPr>
      <w:t xml:space="preserve">Free template from Inside Partners  ·  insidepartners.ai</w:t>
    </w:r>
    <w:r>
      <w:rPr>
        <w:color w:val="6B7688"/>
        <w:sz w:val="15"/>
        <w:szCs w:val="15"/>
      </w:rPr>
      <w:t xml:space="preserve">	Page </w:t>
    </w:r>
    <w:r>
      <w:rPr>
        <w:color w:val="6B7688"/>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4E0D8" w:sz="4" w:space="6"/>
      </w:pBdr>
      <w:tabs>
        <w:tab w:val="right" w:pos="9360"/>
      </w:tabs>
    </w:pPr>
    <w:r>
      <w:rPr>
        <w:b/>
        <w:bCs/>
        <w:color w:val="0C1E36"/>
        <w:spacing w:val="30"/>
        <w:sz w:val="18"/>
        <w:szCs w:val="18"/>
      </w:rPr>
      <w:t xml:space="preserve">INSIDE PARTNERS</w:t>
    </w:r>
    <w:r>
      <w:rPr>
        <w:color w:val="6B7688"/>
        <w:sz w:val="16"/>
        <w:szCs w:val="16"/>
      </w:rPr>
      <w:t xml:space="preserve">  |  Fractional Chief Automation Officer</w:t>
    </w:r>
    <w:r>
      <w:rPr>
        <w:color w:val="6B7688"/>
        <w:sz w:val="16"/>
        <w:szCs w:val="16"/>
      </w:rPr>
      <w:t xml:space="preserve">	Checklist No.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bullet"/>
      <w:lvlText w:val="❑"/>
      <w:lvlJc w:val="left"/>
      <w:pPr>
        <w:ind w:left="460" w:hanging="260"/>
      </w:pPr>
      <w:rPr>
        <w:color w:val="B23A2E"/>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4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23A2E" w:sz="6" w:space="4"/>
      </w:pBdr>
      <w:spacing w:after="110" w:before="240"/>
      <w:outlineLvl w:val="0"/>
    </w:pPr>
    <w:rPr>
      <w:rFonts w:ascii="Arial" w:cs="Arial" w:eastAsia="Arial" w:hAnsi="Arial"/>
      <w:b/>
      <w:bCs/>
      <w:color w:val="0C1E36"/>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fudunqp5ec8pm4c8at69w" Type="http://schemas.openxmlformats.org/officeDocument/2006/relationships/hyperlink" Target="https://www.insidepartners.ai"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Red List — Quick Reference Checklist</dc:title>
  <dc:creator>Inside Partners</dc:creator>
  <cp:lastModifiedBy>Un-named</cp:lastModifiedBy>
  <cp:revision>1</cp:revision>
  <dcterms:created xsi:type="dcterms:W3CDTF">2026-07-19T11:21:17.076Z</dcterms:created>
  <dcterms:modified xsi:type="dcterms:W3CDTF">2026-07-19T11:21:17.076Z</dcterms:modified>
</cp:coreProperties>
</file>

<file path=docProps/custom.xml><?xml version="1.0" encoding="utf-8"?>
<Properties xmlns="http://schemas.openxmlformats.org/officeDocument/2006/custom-properties" xmlns:vt="http://schemas.openxmlformats.org/officeDocument/2006/docPropsVTypes"/>
</file>